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F_01 -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MODEL CARTUȘ PENTRU PIESE DESENATE (ANEXA NR. 4)</w:t>
            </w:r>
          </w:p>
        </w:tc>
      </w:tr>
    </w:tbl>
    <w:p>
      <w:pPr>
        <w:spacing w:after="80"/>
      </w:pPr>
    </w:p>
    <w:p>
      <w:r>
        <w:t>Fiecare planșă din secțiunea PIESE DESENATE va avea în partea dreaptă jos un cartuș standardizat conform Legii 169/2026.</w:t>
      </w: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